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7D9B" w:rsidRPr="00E55627" w:rsidRDefault="00907D9B" w:rsidP="00907D9B">
      <w:pPr>
        <w:widowControl w:val="0"/>
        <w:jc w:val="center"/>
        <w:rPr>
          <w:rFonts w:ascii="Tahoma" w:hAnsi="Tahoma" w:cs="Tahoma"/>
          <w:b/>
          <w:color w:val="333399"/>
          <w:u w:val="single"/>
        </w:rPr>
      </w:pPr>
      <w:r>
        <w:rPr>
          <w:rFonts w:ascii="Arial" w:hAnsi="Arial" w:cs="Arial"/>
          <w:noProof/>
        </w:rPr>
        <mc:AlternateContent>
          <mc:Choice Requires="wps">
            <w:drawing>
              <wp:anchor distT="0" distB="0" distL="114300" distR="114300" simplePos="0" relativeHeight="251659264" behindDoc="0" locked="0" layoutInCell="1" allowOverlap="1" wp14:anchorId="20E2DAEF" wp14:editId="39F5D1E0">
                <wp:simplePos x="0" y="0"/>
                <wp:positionH relativeFrom="column">
                  <wp:posOffset>1671955</wp:posOffset>
                </wp:positionH>
                <wp:positionV relativeFrom="paragraph">
                  <wp:posOffset>1243330</wp:posOffset>
                </wp:positionV>
                <wp:extent cx="2619375" cy="485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619375" cy="4857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F0AFF" id="Rectangle 3" o:spid="_x0000_s1026" style="position:absolute;margin-left:131.65pt;margin-top:97.9pt;width:206.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" filled="f" strokecolor="#1f4d78 [1604]" strokeweight=".5pt"/>
            </w:pict>
          </mc:Fallback>
        </mc:AlternateContent>
      </w:r>
      <w:r>
        <w:rPr>
          <w:rFonts w:ascii="Arial" w:hAnsi="Arial" w:cs="Arial"/>
          <w:noProof/>
        </w:rPr>
        <w:drawing>
          <wp:inline distT="0" distB="0" distL="0" distR="0" wp14:anchorId="26814A0E" wp14:editId="4902C018">
            <wp:extent cx="1914525" cy="1276350"/>
            <wp:effectExtent l="19050" t="0" r="9525" b="0"/>
            <wp:docPr id="1" name="Image 1" descr="haut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utcouleur"/>
                    <pic:cNvPicPr>
                      <a:picLocks noChangeAspect="1" noChangeArrowheads="1"/>
                    </pic:cNvPicPr>
                  </pic:nvPicPr>
                  <pic:blipFill>
                    <a:blip r:embed="rId5" cstate="print"/>
                    <a:srcRect/>
                    <a:stretch>
                      <a:fillRect/>
                    </a:stretch>
                  </pic:blipFill>
                  <pic:spPr bwMode="auto">
                    <a:xfrm>
                      <a:off x="0" y="0"/>
                      <a:ext cx="1914525" cy="1276350"/>
                    </a:xfrm>
                    <a:prstGeom prst="rect">
                      <a:avLst/>
                    </a:prstGeom>
                    <a:noFill/>
                    <a:ln w="9525">
                      <a:noFill/>
                      <a:miter lim="800000"/>
                      <a:headEnd/>
                      <a:tailEnd/>
                    </a:ln>
                  </pic:spPr>
                </pic:pic>
              </a:graphicData>
            </a:graphic>
          </wp:inline>
        </w:drawing>
      </w:r>
    </w:p>
    <w:p w:rsidR="00907D9B" w:rsidRPr="005B6EBC" w:rsidRDefault="00907D9B" w:rsidP="00907D9B">
      <w:pPr>
        <w:jc w:val="center"/>
      </w:pPr>
    </w:p>
    <w:p w:rsidR="00907D9B" w:rsidRPr="005B6EBC" w:rsidRDefault="00907D9B" w:rsidP="00907D9B">
      <w:pPr>
        <w:pStyle w:val="Titre2"/>
        <w:jc w:val="center"/>
        <w:rPr>
          <w:rFonts w:ascii="Tahoma" w:hAnsi="Tahoma" w:cs="Tahoma"/>
          <w:b/>
          <w:sz w:val="22"/>
        </w:rPr>
      </w:pPr>
      <w:r w:rsidRPr="005B6EBC">
        <w:rPr>
          <w:rFonts w:ascii="Tahoma" w:hAnsi="Tahoma" w:cs="Tahoma"/>
          <w:b/>
          <w:sz w:val="22"/>
        </w:rPr>
        <w:t>Contrôleur de gestion EMEA</w:t>
      </w:r>
      <w:r>
        <w:rPr>
          <w:rFonts w:ascii="Tahoma" w:hAnsi="Tahoma" w:cs="Tahoma"/>
          <w:b/>
          <w:sz w:val="22"/>
        </w:rPr>
        <w:t xml:space="preserve"> H/F</w:t>
      </w:r>
    </w:p>
    <w:p w:rsidR="00907D9B" w:rsidRPr="009B10CF" w:rsidRDefault="00907D9B" w:rsidP="00907D9B">
      <w:pPr>
        <w:pStyle w:val="Titre5"/>
        <w:jc w:val="center"/>
        <w:rPr>
          <w:rFonts w:cs="Tahoma"/>
          <w:sz w:val="20"/>
        </w:rPr>
      </w:pPr>
    </w:p>
    <w:p w:rsidR="00C15DDB" w:rsidRDefault="00C15DDB" w:rsidP="00907D9B">
      <w:pPr>
        <w:jc w:val="both"/>
        <w:rPr>
          <w:rFonts w:ascii="Arial" w:hAnsi="Arial" w:cs="Arial"/>
          <w:u w:val="single"/>
        </w:rPr>
      </w:pPr>
    </w:p>
    <w:p w:rsidR="00907D9B" w:rsidRPr="00907694" w:rsidRDefault="00907D9B" w:rsidP="00907D9B">
      <w:pPr>
        <w:jc w:val="both"/>
        <w:rPr>
          <w:rFonts w:ascii="Arial" w:hAnsi="Arial" w:cs="Arial"/>
          <w:u w:val="single"/>
        </w:rPr>
      </w:pPr>
      <w:r w:rsidRPr="00907694">
        <w:rPr>
          <w:rFonts w:ascii="Arial" w:hAnsi="Arial" w:cs="Arial"/>
          <w:u w:val="single"/>
        </w:rPr>
        <w:t>Missions :</w:t>
      </w:r>
    </w:p>
    <w:p w:rsidR="00907D9B" w:rsidRPr="00446E17" w:rsidRDefault="00907D9B" w:rsidP="00907D9B">
      <w:pPr>
        <w:jc w:val="both"/>
        <w:rPr>
          <w:rFonts w:ascii="Verdana" w:hAnsi="Verdana" w:cs="Arial"/>
        </w:rPr>
      </w:pPr>
    </w:p>
    <w:p w:rsidR="00907D9B" w:rsidRPr="007E7BB2" w:rsidRDefault="00907D9B" w:rsidP="00907D9B">
      <w:pPr>
        <w:pStyle w:val="Notedebasdepage"/>
        <w:jc w:val="both"/>
        <w:rPr>
          <w:rFonts w:ascii="Verdana" w:hAnsi="Verdana" w:cs="Arial"/>
        </w:rPr>
      </w:pPr>
      <w:r>
        <w:rPr>
          <w:rFonts w:ascii="Verdana" w:hAnsi="Verdana" w:cs="Arial"/>
        </w:rPr>
        <w:t>Rattaché(e</w:t>
      </w:r>
      <w:r w:rsidRPr="00E4688C">
        <w:rPr>
          <w:rFonts w:ascii="Verdana" w:hAnsi="Verdana" w:cs="Arial"/>
        </w:rPr>
        <w:t xml:space="preserve">) au Manageur Contrôle de Gestion </w:t>
      </w:r>
      <w:r w:rsidR="00C15DDB" w:rsidRPr="00E4688C">
        <w:rPr>
          <w:rFonts w:ascii="Verdana" w:hAnsi="Verdana" w:cs="Arial"/>
        </w:rPr>
        <w:t xml:space="preserve">de la </w:t>
      </w:r>
      <w:r w:rsidR="00774973" w:rsidRPr="00E4688C">
        <w:rPr>
          <w:rFonts w:ascii="Verdana" w:hAnsi="Verdana" w:cs="Arial"/>
        </w:rPr>
        <w:t xml:space="preserve">Zone de Distribution </w:t>
      </w:r>
      <w:r w:rsidRPr="00E4688C">
        <w:rPr>
          <w:rFonts w:ascii="Verdana" w:hAnsi="Verdana" w:cs="Arial"/>
        </w:rPr>
        <w:t>EMEA (Europe – Middle East – Asia) et au sein d’une équipe de 3 personnes</w:t>
      </w:r>
      <w:r w:rsidRPr="00907270">
        <w:rPr>
          <w:rFonts w:ascii="Verdana" w:hAnsi="Verdana" w:cs="Arial"/>
        </w:rPr>
        <w:t>, vous êtes le contact privilégié de</w:t>
      </w:r>
      <w:r>
        <w:rPr>
          <w:rFonts w:ascii="Verdana" w:hAnsi="Verdana" w:cs="Arial"/>
        </w:rPr>
        <w:t>s</w:t>
      </w:r>
      <w:r w:rsidRPr="00907270">
        <w:rPr>
          <w:rFonts w:ascii="Verdana" w:hAnsi="Verdana" w:cs="Arial"/>
        </w:rPr>
        <w:t xml:space="preserve"> contrôleurs de gestion</w:t>
      </w:r>
      <w:r>
        <w:rPr>
          <w:rFonts w:ascii="Verdana" w:hAnsi="Verdana" w:cs="Arial"/>
        </w:rPr>
        <w:t xml:space="preserve"> et directeurs financiers</w:t>
      </w:r>
      <w:r w:rsidRPr="00907270">
        <w:rPr>
          <w:rFonts w:ascii="Verdana" w:hAnsi="Verdana" w:cs="Arial"/>
        </w:rPr>
        <w:t xml:space="preserve"> de vos filiales afin de les accompagner </w:t>
      </w:r>
      <w:r>
        <w:rPr>
          <w:rFonts w:ascii="Verdana" w:hAnsi="Verdana" w:cs="Arial"/>
        </w:rPr>
        <w:t>au quotidien sur l’ensemble des sujets de leur activité</w:t>
      </w:r>
      <w:r w:rsidRPr="007E7BB2">
        <w:rPr>
          <w:rFonts w:ascii="Verdana" w:hAnsi="Verdana" w:cs="Arial"/>
        </w:rPr>
        <w:t>. En tant que référent métier, vous participez également à des projets et à l’optimisation de nos process.</w:t>
      </w:r>
      <w:r>
        <w:rPr>
          <w:rFonts w:ascii="Verdana" w:hAnsi="Verdana" w:cs="Arial"/>
        </w:rPr>
        <w:t xml:space="preserve"> </w:t>
      </w:r>
      <w:r w:rsidRPr="007E7BB2">
        <w:rPr>
          <w:rFonts w:ascii="Verdana" w:hAnsi="Verdana" w:cs="Arial"/>
        </w:rPr>
        <w:t>Plus précisément vos missions sont les suivantes:</w:t>
      </w:r>
    </w:p>
    <w:p w:rsidR="00907D9B" w:rsidRPr="007E7BB2" w:rsidRDefault="00907D9B" w:rsidP="00907D9B">
      <w:pPr>
        <w:pStyle w:val="Notedebasdepage"/>
        <w:jc w:val="both"/>
        <w:rPr>
          <w:rFonts w:ascii="Verdana" w:hAnsi="Verdana" w:cs="Arial"/>
        </w:rPr>
      </w:pPr>
    </w:p>
    <w:p w:rsidR="00907D9B" w:rsidRDefault="00DB3C8A" w:rsidP="00907D9B">
      <w:pPr>
        <w:pStyle w:val="Notedebasdepage"/>
        <w:numPr>
          <w:ilvl w:val="0"/>
          <w:numId w:val="1"/>
        </w:numPr>
        <w:jc w:val="both"/>
        <w:rPr>
          <w:rFonts w:ascii="Verdana" w:hAnsi="Verdana" w:cs="Arial"/>
          <w:b/>
        </w:rPr>
      </w:pPr>
      <w:r>
        <w:rPr>
          <w:rFonts w:ascii="Verdana" w:hAnsi="Verdana" w:cs="Arial"/>
          <w:b/>
        </w:rPr>
        <w:t>Soutien et A</w:t>
      </w:r>
      <w:r w:rsidR="00907D9B">
        <w:rPr>
          <w:rFonts w:ascii="Verdana" w:hAnsi="Verdana" w:cs="Arial"/>
          <w:b/>
        </w:rPr>
        <w:t>nalyse de la performance d’un portefeuille de filiales de la Zone EMEA</w:t>
      </w:r>
    </w:p>
    <w:p w:rsidR="00907D9B" w:rsidRDefault="00747FDC" w:rsidP="00907D9B">
      <w:pPr>
        <w:pStyle w:val="Notedebasdepage"/>
        <w:numPr>
          <w:ilvl w:val="0"/>
          <w:numId w:val="6"/>
        </w:numPr>
        <w:jc w:val="both"/>
        <w:rPr>
          <w:rFonts w:ascii="Verdana" w:hAnsi="Verdana" w:cs="Arial"/>
        </w:rPr>
      </w:pPr>
      <w:r>
        <w:rPr>
          <w:rFonts w:ascii="Verdana" w:hAnsi="Verdana" w:cs="Arial"/>
        </w:rPr>
        <w:t>Se positionner en</w:t>
      </w:r>
      <w:r w:rsidR="00907D9B">
        <w:rPr>
          <w:rFonts w:ascii="Verdana" w:hAnsi="Verdana" w:cs="Arial"/>
        </w:rPr>
        <w:t xml:space="preserve"> Business Partner auprès des contrôleurs de gestion et/ou des Directeurs financiers des filiales de la zone via un contact quotidien orienté services</w:t>
      </w:r>
    </w:p>
    <w:p w:rsidR="00907D9B" w:rsidRDefault="001A6AAC" w:rsidP="00907D9B">
      <w:pPr>
        <w:pStyle w:val="Notedebasdepage"/>
        <w:numPr>
          <w:ilvl w:val="0"/>
          <w:numId w:val="6"/>
        </w:numPr>
        <w:jc w:val="both"/>
        <w:rPr>
          <w:rFonts w:ascii="Verdana" w:hAnsi="Verdana" w:cs="Arial"/>
        </w:rPr>
      </w:pPr>
      <w:r>
        <w:rPr>
          <w:rFonts w:ascii="Verdana" w:hAnsi="Verdana" w:cs="Arial"/>
        </w:rPr>
        <w:t>C</w:t>
      </w:r>
      <w:r w:rsidR="00747FDC">
        <w:rPr>
          <w:rFonts w:ascii="Verdana" w:hAnsi="Verdana" w:cs="Arial"/>
        </w:rPr>
        <w:t xml:space="preserve">oordination des </w:t>
      </w:r>
      <w:r w:rsidR="00907D9B">
        <w:rPr>
          <w:rFonts w:ascii="Verdana" w:hAnsi="Verdana" w:cs="Arial"/>
        </w:rPr>
        <w:t>reporting</w:t>
      </w:r>
      <w:r w:rsidR="00747FDC">
        <w:rPr>
          <w:rFonts w:ascii="Verdana" w:hAnsi="Verdana" w:cs="Arial"/>
        </w:rPr>
        <w:t>s</w:t>
      </w:r>
      <w:r w:rsidR="00907D9B">
        <w:rPr>
          <w:rFonts w:ascii="Verdana" w:hAnsi="Verdana" w:cs="Arial"/>
        </w:rPr>
        <w:t xml:space="preserve"> mensuel</w:t>
      </w:r>
      <w:r w:rsidR="00747FDC">
        <w:rPr>
          <w:rFonts w:ascii="Verdana" w:hAnsi="Verdana" w:cs="Arial"/>
        </w:rPr>
        <w:t>s</w:t>
      </w:r>
      <w:r w:rsidR="00907D9B">
        <w:rPr>
          <w:rFonts w:ascii="Verdana" w:hAnsi="Verdana" w:cs="Arial"/>
        </w:rPr>
        <w:t xml:space="preserve"> du réalisé et prévisions budgétaires</w:t>
      </w:r>
      <w:r w:rsidR="00747FDC">
        <w:rPr>
          <w:rFonts w:ascii="Verdana" w:hAnsi="Verdana" w:cs="Arial"/>
        </w:rPr>
        <w:t xml:space="preserve"> P&amp;L et Balance Sheet</w:t>
      </w:r>
    </w:p>
    <w:p w:rsidR="00747FDC" w:rsidRDefault="001A6AAC" w:rsidP="00907D9B">
      <w:pPr>
        <w:pStyle w:val="Notedebasdepage"/>
        <w:numPr>
          <w:ilvl w:val="0"/>
          <w:numId w:val="6"/>
        </w:numPr>
        <w:jc w:val="both"/>
        <w:rPr>
          <w:rFonts w:ascii="Verdana" w:hAnsi="Verdana" w:cs="Arial"/>
        </w:rPr>
      </w:pPr>
      <w:r>
        <w:rPr>
          <w:rFonts w:ascii="Verdana" w:hAnsi="Verdana" w:cs="Arial"/>
        </w:rPr>
        <w:t>A</w:t>
      </w:r>
      <w:r w:rsidR="00747FDC">
        <w:rPr>
          <w:rFonts w:ascii="Verdana" w:hAnsi="Verdana" w:cs="Arial"/>
        </w:rPr>
        <w:t xml:space="preserve">nalyse du P&amp;L et Balance Sheet de son portefeuille de filiales : </w:t>
      </w:r>
    </w:p>
    <w:p w:rsidR="006916A9" w:rsidRPr="006916A9" w:rsidRDefault="006916A9" w:rsidP="006916A9">
      <w:pPr>
        <w:pStyle w:val="Notedebasdepage"/>
        <w:numPr>
          <w:ilvl w:val="0"/>
          <w:numId w:val="7"/>
        </w:numPr>
        <w:jc w:val="both"/>
        <w:rPr>
          <w:rFonts w:ascii="Verdana" w:hAnsi="Verdana" w:cs="Arial"/>
        </w:rPr>
      </w:pPr>
      <w:r>
        <w:rPr>
          <w:rFonts w:ascii="Verdana" w:hAnsi="Verdana" w:cs="Arial"/>
        </w:rPr>
        <w:t>tendances historiques</w:t>
      </w:r>
    </w:p>
    <w:p w:rsidR="00747FDC" w:rsidRPr="006916A9" w:rsidRDefault="00747FDC" w:rsidP="006916A9">
      <w:pPr>
        <w:pStyle w:val="Notedebasdepage"/>
        <w:numPr>
          <w:ilvl w:val="0"/>
          <w:numId w:val="7"/>
        </w:numPr>
        <w:jc w:val="both"/>
        <w:rPr>
          <w:rFonts w:ascii="Verdana" w:hAnsi="Verdana" w:cs="Arial"/>
        </w:rPr>
      </w:pPr>
      <w:r>
        <w:rPr>
          <w:rFonts w:ascii="Verdana" w:hAnsi="Verdana" w:cs="Arial"/>
        </w:rPr>
        <w:t>variations</w:t>
      </w:r>
      <w:r w:rsidR="00F76F3A">
        <w:rPr>
          <w:rFonts w:ascii="Verdana" w:hAnsi="Verdana" w:cs="Arial"/>
        </w:rPr>
        <w:t xml:space="preserve"> entre données réelles et</w:t>
      </w:r>
      <w:r>
        <w:rPr>
          <w:rFonts w:ascii="Verdana" w:hAnsi="Verdana" w:cs="Arial"/>
        </w:rPr>
        <w:t xml:space="preserve"> prévisions</w:t>
      </w:r>
    </w:p>
    <w:p w:rsidR="00747FDC" w:rsidRPr="007E7BB2" w:rsidRDefault="00DB3C8A" w:rsidP="00747FDC">
      <w:pPr>
        <w:pStyle w:val="Notedebasdepage"/>
        <w:numPr>
          <w:ilvl w:val="0"/>
          <w:numId w:val="7"/>
        </w:numPr>
        <w:jc w:val="both"/>
        <w:rPr>
          <w:rFonts w:ascii="Verdana" w:hAnsi="Verdana" w:cs="Arial"/>
        </w:rPr>
      </w:pPr>
      <w:r>
        <w:rPr>
          <w:rFonts w:ascii="Verdana" w:hAnsi="Verdana" w:cs="Arial"/>
        </w:rPr>
        <w:t>variations entre révisions budgétaires successives</w:t>
      </w:r>
    </w:p>
    <w:p w:rsidR="00907D9B" w:rsidRDefault="00907D9B" w:rsidP="00907D9B">
      <w:pPr>
        <w:pStyle w:val="Notedebasdepage"/>
        <w:jc w:val="both"/>
        <w:rPr>
          <w:rFonts w:ascii="Verdana" w:hAnsi="Verdana" w:cs="Arial"/>
          <w:b/>
        </w:rPr>
      </w:pPr>
    </w:p>
    <w:p w:rsidR="00907D9B" w:rsidRDefault="00907D9B" w:rsidP="00907D9B">
      <w:pPr>
        <w:pStyle w:val="Notedebasdepage"/>
        <w:jc w:val="both"/>
        <w:rPr>
          <w:rFonts w:ascii="Verdana" w:hAnsi="Verdana" w:cs="Arial"/>
          <w:b/>
        </w:rPr>
      </w:pPr>
    </w:p>
    <w:p w:rsidR="00907D9B" w:rsidRPr="007E7BB2" w:rsidRDefault="00907D9B" w:rsidP="00907D9B">
      <w:pPr>
        <w:pStyle w:val="Notedebasdepage"/>
        <w:numPr>
          <w:ilvl w:val="0"/>
          <w:numId w:val="1"/>
        </w:numPr>
        <w:jc w:val="both"/>
        <w:rPr>
          <w:rFonts w:ascii="Verdana" w:hAnsi="Verdana" w:cs="Arial"/>
          <w:b/>
        </w:rPr>
      </w:pPr>
      <w:r w:rsidRPr="007E7BB2">
        <w:rPr>
          <w:rFonts w:ascii="Verdana" w:hAnsi="Verdana" w:cs="Arial"/>
          <w:b/>
        </w:rPr>
        <w:t>Consolid</w:t>
      </w:r>
      <w:r w:rsidR="00E73A5D">
        <w:rPr>
          <w:rFonts w:ascii="Verdana" w:hAnsi="Verdana" w:cs="Arial"/>
          <w:b/>
        </w:rPr>
        <w:t>ation A</w:t>
      </w:r>
      <w:r w:rsidR="00774973">
        <w:rPr>
          <w:rFonts w:ascii="Verdana" w:hAnsi="Verdana" w:cs="Arial"/>
          <w:b/>
        </w:rPr>
        <w:t>nalytique d</w:t>
      </w:r>
      <w:r w:rsidRPr="007E7BB2">
        <w:rPr>
          <w:rFonts w:ascii="Verdana" w:hAnsi="Verdana" w:cs="Arial"/>
          <w:b/>
        </w:rPr>
        <w:t>es performances au niveau Zone EMEA :</w:t>
      </w:r>
    </w:p>
    <w:p w:rsidR="00774973" w:rsidRDefault="00774973" w:rsidP="00907D9B">
      <w:pPr>
        <w:pStyle w:val="Notedebasdepage"/>
        <w:numPr>
          <w:ilvl w:val="0"/>
          <w:numId w:val="3"/>
        </w:numPr>
        <w:jc w:val="both"/>
        <w:rPr>
          <w:rFonts w:ascii="Verdana" w:hAnsi="Verdana" w:cs="Arial"/>
        </w:rPr>
      </w:pPr>
      <w:r>
        <w:rPr>
          <w:rFonts w:ascii="Verdana" w:hAnsi="Verdana" w:cs="Arial"/>
        </w:rPr>
        <w:t>Analyser le P&amp;L complet de la Zone des Revenus jusqu’à l’EBIT</w:t>
      </w:r>
    </w:p>
    <w:p w:rsidR="00C1333B" w:rsidRDefault="00C1333B" w:rsidP="00C1333B">
      <w:pPr>
        <w:pStyle w:val="Notedebasdepage"/>
        <w:numPr>
          <w:ilvl w:val="0"/>
          <w:numId w:val="7"/>
        </w:numPr>
        <w:jc w:val="both"/>
        <w:rPr>
          <w:rFonts w:ascii="Verdana" w:hAnsi="Verdana" w:cs="Arial"/>
        </w:rPr>
      </w:pPr>
      <w:r>
        <w:rPr>
          <w:rFonts w:ascii="Verdana" w:hAnsi="Verdana" w:cs="Arial"/>
        </w:rPr>
        <w:t>Revenus Net</w:t>
      </w:r>
      <w:r w:rsidR="00EA3356">
        <w:rPr>
          <w:rFonts w:ascii="Verdana" w:hAnsi="Verdana" w:cs="Arial"/>
        </w:rPr>
        <w:t>s</w:t>
      </w:r>
      <w:r>
        <w:rPr>
          <w:rFonts w:ascii="Verdana" w:hAnsi="Verdana" w:cs="Arial"/>
        </w:rPr>
        <w:t xml:space="preserve"> de vente</w:t>
      </w:r>
      <w:r w:rsidR="00EA3356">
        <w:rPr>
          <w:rFonts w:ascii="Verdana" w:hAnsi="Verdana" w:cs="Arial"/>
        </w:rPr>
        <w:t>s</w:t>
      </w:r>
      <w:r>
        <w:rPr>
          <w:rFonts w:ascii="Verdana" w:hAnsi="Verdana" w:cs="Arial"/>
        </w:rPr>
        <w:t xml:space="preserve"> des jeux : Quantités, Chiffre d’affaires Brut, Retours, Remises, Revenus différés, Provisions</w:t>
      </w:r>
    </w:p>
    <w:p w:rsidR="00C1333B" w:rsidRDefault="00C1333B" w:rsidP="00C1333B">
      <w:pPr>
        <w:pStyle w:val="Notedebasdepage"/>
        <w:numPr>
          <w:ilvl w:val="0"/>
          <w:numId w:val="7"/>
        </w:numPr>
        <w:jc w:val="both"/>
        <w:rPr>
          <w:rFonts w:ascii="Verdana" w:hAnsi="Verdana" w:cs="Arial"/>
        </w:rPr>
      </w:pPr>
      <w:r>
        <w:rPr>
          <w:rFonts w:ascii="Verdana" w:hAnsi="Verdana" w:cs="Arial"/>
        </w:rPr>
        <w:t>Marge : vision par marchés, p</w:t>
      </w:r>
      <w:r w:rsidR="00EA3356">
        <w:rPr>
          <w:rFonts w:ascii="Verdana" w:hAnsi="Verdana" w:cs="Arial"/>
        </w:rPr>
        <w:t>lateforme, jeux et segments</w:t>
      </w:r>
    </w:p>
    <w:p w:rsidR="00EA3356" w:rsidRPr="00EA3356" w:rsidRDefault="00C1333B" w:rsidP="00EA3356">
      <w:pPr>
        <w:pStyle w:val="Notedebasdepage"/>
        <w:numPr>
          <w:ilvl w:val="0"/>
          <w:numId w:val="7"/>
        </w:numPr>
        <w:jc w:val="both"/>
        <w:rPr>
          <w:rFonts w:ascii="Verdana" w:hAnsi="Verdana" w:cs="Arial"/>
        </w:rPr>
      </w:pPr>
      <w:r>
        <w:rPr>
          <w:rFonts w:ascii="Verdana" w:hAnsi="Verdana" w:cs="Arial"/>
        </w:rPr>
        <w:t>Marketing et coûts de structure</w:t>
      </w:r>
    </w:p>
    <w:p w:rsidR="00550D0D" w:rsidRDefault="00550D0D" w:rsidP="00907D9B">
      <w:pPr>
        <w:pStyle w:val="Notedebasdepage"/>
        <w:numPr>
          <w:ilvl w:val="0"/>
          <w:numId w:val="3"/>
        </w:numPr>
        <w:jc w:val="both"/>
        <w:rPr>
          <w:rFonts w:ascii="Verdana" w:hAnsi="Verdana" w:cs="Arial"/>
        </w:rPr>
      </w:pPr>
      <w:r>
        <w:rPr>
          <w:rFonts w:ascii="Verdana" w:hAnsi="Verdana" w:cs="Arial"/>
        </w:rPr>
        <w:t xml:space="preserve">Choisir et suivre les KPIs et </w:t>
      </w:r>
      <w:r w:rsidR="002870BA">
        <w:rPr>
          <w:rFonts w:ascii="Verdana" w:hAnsi="Verdana" w:cs="Arial"/>
        </w:rPr>
        <w:t>drivers pertinents de</w:t>
      </w:r>
      <w:r>
        <w:rPr>
          <w:rFonts w:ascii="Verdana" w:hAnsi="Verdana" w:cs="Arial"/>
        </w:rPr>
        <w:t xml:space="preserve"> performance </w:t>
      </w:r>
      <w:r w:rsidR="002870BA">
        <w:rPr>
          <w:rFonts w:ascii="Verdana" w:hAnsi="Verdana" w:cs="Arial"/>
        </w:rPr>
        <w:t xml:space="preserve">de la </w:t>
      </w:r>
      <w:r>
        <w:rPr>
          <w:rFonts w:ascii="Verdana" w:hAnsi="Verdana" w:cs="Arial"/>
        </w:rPr>
        <w:t>Zone</w:t>
      </w:r>
      <w:r w:rsidR="00EA3356">
        <w:rPr>
          <w:rFonts w:ascii="Verdana" w:hAnsi="Verdana" w:cs="Arial"/>
        </w:rPr>
        <w:t>, Redéfinir et communiquer les tableaux de bord adaptés</w:t>
      </w:r>
    </w:p>
    <w:p w:rsidR="00907D9B" w:rsidRPr="007E7BB2" w:rsidRDefault="00550D0D" w:rsidP="00907D9B">
      <w:pPr>
        <w:pStyle w:val="Notedebasdepage"/>
        <w:numPr>
          <w:ilvl w:val="0"/>
          <w:numId w:val="3"/>
        </w:numPr>
        <w:jc w:val="both"/>
        <w:rPr>
          <w:rFonts w:ascii="Verdana" w:hAnsi="Verdana" w:cs="Arial"/>
        </w:rPr>
      </w:pPr>
      <w:r>
        <w:rPr>
          <w:rFonts w:ascii="Verdana" w:hAnsi="Verdana" w:cs="Arial"/>
        </w:rPr>
        <w:lastRenderedPageBreak/>
        <w:t xml:space="preserve">Préparer des </w:t>
      </w:r>
      <w:r w:rsidR="00907D9B" w:rsidRPr="007E7BB2">
        <w:rPr>
          <w:rFonts w:ascii="Verdana" w:hAnsi="Verdana" w:cs="Arial"/>
        </w:rPr>
        <w:t xml:space="preserve">analyses transverses </w:t>
      </w:r>
      <w:r>
        <w:rPr>
          <w:rFonts w:ascii="Verdana" w:hAnsi="Verdana" w:cs="Arial"/>
        </w:rPr>
        <w:t xml:space="preserve">ad hoc </w:t>
      </w:r>
      <w:r w:rsidR="00907D9B" w:rsidRPr="007E7BB2">
        <w:rPr>
          <w:rFonts w:ascii="Verdana" w:hAnsi="Verdana" w:cs="Arial"/>
        </w:rPr>
        <w:t>pour le top management du siège EMEA et ponctuellement pour le siège Monde</w:t>
      </w:r>
    </w:p>
    <w:p w:rsidR="00907D9B" w:rsidRPr="007E7BB2" w:rsidRDefault="00907D9B" w:rsidP="00907D9B">
      <w:pPr>
        <w:pStyle w:val="Notedebasdepage"/>
        <w:ind w:left="765"/>
        <w:jc w:val="both"/>
        <w:rPr>
          <w:rFonts w:ascii="Verdana" w:hAnsi="Verdana" w:cs="Arial"/>
        </w:rPr>
      </w:pPr>
    </w:p>
    <w:p w:rsidR="00907D9B" w:rsidRPr="007E7BB2" w:rsidRDefault="00907D9B" w:rsidP="00907D9B">
      <w:pPr>
        <w:pStyle w:val="Notedebasdepage"/>
        <w:jc w:val="both"/>
        <w:rPr>
          <w:rFonts w:ascii="Verdana" w:hAnsi="Verdana" w:cs="Arial"/>
        </w:rPr>
      </w:pPr>
    </w:p>
    <w:p w:rsidR="00907D9B" w:rsidRPr="00E4688C" w:rsidRDefault="002870BA" w:rsidP="00907D9B">
      <w:pPr>
        <w:pStyle w:val="Notedebasdepage"/>
        <w:numPr>
          <w:ilvl w:val="0"/>
          <w:numId w:val="1"/>
        </w:numPr>
        <w:jc w:val="both"/>
        <w:rPr>
          <w:rFonts w:ascii="Verdana" w:hAnsi="Verdana" w:cs="Arial"/>
          <w:b/>
        </w:rPr>
      </w:pPr>
      <w:r w:rsidRPr="00E4688C">
        <w:rPr>
          <w:rFonts w:ascii="Verdana" w:hAnsi="Verdana" w:cs="Arial"/>
          <w:b/>
        </w:rPr>
        <w:t xml:space="preserve">Coordination de </w:t>
      </w:r>
      <w:r w:rsidR="00907D9B" w:rsidRPr="00E4688C">
        <w:rPr>
          <w:rFonts w:ascii="Verdana" w:hAnsi="Verdana" w:cs="Arial"/>
          <w:b/>
        </w:rPr>
        <w:t>l’amélioration</w:t>
      </w:r>
      <w:r w:rsidR="00C15DDB" w:rsidRPr="00E4688C">
        <w:rPr>
          <w:rFonts w:ascii="Verdana" w:hAnsi="Verdana" w:cs="Arial"/>
          <w:b/>
        </w:rPr>
        <w:t xml:space="preserve"> de nos outils/</w:t>
      </w:r>
      <w:r w:rsidR="00907D9B" w:rsidRPr="00E4688C">
        <w:rPr>
          <w:rFonts w:ascii="Verdana" w:hAnsi="Verdana" w:cs="Arial"/>
          <w:b/>
        </w:rPr>
        <w:t>process</w:t>
      </w:r>
      <w:r w:rsidRPr="00E4688C">
        <w:rPr>
          <w:rFonts w:ascii="Verdana" w:hAnsi="Verdana" w:cs="Arial"/>
          <w:b/>
        </w:rPr>
        <w:t xml:space="preserve"> et développement d’expertise métier</w:t>
      </w:r>
      <w:r w:rsidR="00907D9B" w:rsidRPr="00E4688C">
        <w:rPr>
          <w:rFonts w:ascii="Verdana" w:hAnsi="Verdana" w:cs="Arial"/>
          <w:b/>
        </w:rPr>
        <w:t xml:space="preserve"> :</w:t>
      </w:r>
    </w:p>
    <w:p w:rsidR="00C15DDB" w:rsidRPr="00E4688C" w:rsidRDefault="00C15DDB" w:rsidP="00C15DDB">
      <w:pPr>
        <w:pStyle w:val="Notedebasdepage"/>
        <w:numPr>
          <w:ilvl w:val="0"/>
          <w:numId w:val="8"/>
        </w:numPr>
        <w:jc w:val="both"/>
        <w:rPr>
          <w:rFonts w:ascii="Verdana" w:hAnsi="Verdana" w:cs="Arial"/>
        </w:rPr>
      </w:pPr>
      <w:r w:rsidRPr="00E4688C">
        <w:rPr>
          <w:rFonts w:ascii="Verdana" w:hAnsi="Verdana" w:cs="Arial"/>
        </w:rPr>
        <w:t>Participer activement</w:t>
      </w:r>
      <w:r w:rsidR="00907D9B" w:rsidRPr="00E4688C">
        <w:rPr>
          <w:rFonts w:ascii="Verdana" w:hAnsi="Verdana" w:cs="Arial"/>
        </w:rPr>
        <w:t xml:space="preserve"> aux projets EMEA et Groupe d’améliorati</w:t>
      </w:r>
      <w:r w:rsidRPr="00E4688C">
        <w:rPr>
          <w:rFonts w:ascii="Verdana" w:hAnsi="Verdana" w:cs="Arial"/>
        </w:rPr>
        <w:t>on de nos outils et process</w:t>
      </w:r>
    </w:p>
    <w:p w:rsidR="00907D9B" w:rsidRPr="00E4688C" w:rsidRDefault="00C15DDB" w:rsidP="00C15DDB">
      <w:pPr>
        <w:pStyle w:val="Notedebasdepage"/>
        <w:numPr>
          <w:ilvl w:val="0"/>
          <w:numId w:val="8"/>
        </w:numPr>
        <w:jc w:val="both"/>
        <w:rPr>
          <w:rFonts w:ascii="Verdana" w:hAnsi="Verdana" w:cs="Arial"/>
        </w:rPr>
      </w:pPr>
      <w:r w:rsidRPr="00E4688C">
        <w:rPr>
          <w:rFonts w:ascii="Verdana" w:hAnsi="Verdana" w:cs="Arial"/>
        </w:rPr>
        <w:t xml:space="preserve">Participer au </w:t>
      </w:r>
      <w:r w:rsidR="00907D9B" w:rsidRPr="00E4688C">
        <w:rPr>
          <w:rFonts w:ascii="Verdana" w:hAnsi="Verdana" w:cs="Arial"/>
        </w:rPr>
        <w:t xml:space="preserve">déploiement de nouvelles solutions en lien avec l’évolution des réglementations comptables associées </w:t>
      </w:r>
      <w:r w:rsidRPr="00E4688C">
        <w:rPr>
          <w:rFonts w:ascii="Verdana" w:hAnsi="Verdana" w:cs="Arial"/>
        </w:rPr>
        <w:t xml:space="preserve">et </w:t>
      </w:r>
      <w:r w:rsidR="00E4688C" w:rsidRPr="00E4688C">
        <w:rPr>
          <w:rFonts w:ascii="Verdana" w:hAnsi="Verdana" w:cs="Arial"/>
        </w:rPr>
        <w:t xml:space="preserve">développer </w:t>
      </w:r>
      <w:r w:rsidRPr="00E4688C">
        <w:rPr>
          <w:rFonts w:ascii="Verdana" w:hAnsi="Verdana" w:cs="Arial"/>
        </w:rPr>
        <w:t xml:space="preserve">une expertise métier sur les règles de calculs des revenus différés </w:t>
      </w:r>
      <w:r w:rsidR="00907D9B" w:rsidRPr="00E4688C">
        <w:rPr>
          <w:rFonts w:ascii="Verdana" w:hAnsi="Verdana" w:cs="Arial"/>
        </w:rPr>
        <w:t>(</w:t>
      </w:r>
      <w:r w:rsidRPr="00E4688C">
        <w:rPr>
          <w:rFonts w:ascii="Verdana" w:hAnsi="Verdana" w:cs="Arial"/>
        </w:rPr>
        <w:t xml:space="preserve">normes </w:t>
      </w:r>
      <w:r w:rsidR="00907D9B" w:rsidRPr="00E4688C">
        <w:rPr>
          <w:rFonts w:ascii="Verdana" w:hAnsi="Verdana" w:cs="Arial"/>
        </w:rPr>
        <w:t>IFRS15)</w:t>
      </w:r>
    </w:p>
    <w:p w:rsidR="00C15DDB" w:rsidRPr="00E4688C" w:rsidRDefault="00C15DDB" w:rsidP="00C15DDB">
      <w:pPr>
        <w:pStyle w:val="Notedebasdepage"/>
        <w:numPr>
          <w:ilvl w:val="0"/>
          <w:numId w:val="9"/>
        </w:numPr>
        <w:jc w:val="both"/>
        <w:rPr>
          <w:rFonts w:ascii="Verdana" w:hAnsi="Verdana" w:cs="Arial"/>
        </w:rPr>
      </w:pPr>
      <w:r w:rsidRPr="00E4688C">
        <w:rPr>
          <w:rFonts w:ascii="Verdana" w:hAnsi="Verdana" w:cs="Arial"/>
        </w:rPr>
        <w:t>Mener la conduite du changement afin d’accompagner l</w:t>
      </w:r>
      <w:r w:rsidR="00907D9B" w:rsidRPr="00E4688C">
        <w:rPr>
          <w:rFonts w:ascii="Verdana" w:hAnsi="Verdana" w:cs="Arial"/>
        </w:rPr>
        <w:t xml:space="preserve">es filiales dans </w:t>
      </w:r>
    </w:p>
    <w:p w:rsidR="00C15DDB" w:rsidRPr="00E4688C" w:rsidRDefault="00907D9B" w:rsidP="00C15DDB">
      <w:pPr>
        <w:pStyle w:val="Notedebasdepage"/>
        <w:numPr>
          <w:ilvl w:val="0"/>
          <w:numId w:val="7"/>
        </w:numPr>
        <w:jc w:val="both"/>
        <w:rPr>
          <w:rFonts w:ascii="Verdana" w:hAnsi="Verdana" w:cs="Arial"/>
        </w:rPr>
      </w:pPr>
      <w:r w:rsidRPr="00E4688C">
        <w:rPr>
          <w:rFonts w:ascii="Verdana" w:hAnsi="Verdana" w:cs="Arial"/>
        </w:rPr>
        <w:t xml:space="preserve">la mise en place </w:t>
      </w:r>
      <w:r w:rsidR="00C15DDB" w:rsidRPr="00E4688C">
        <w:rPr>
          <w:rFonts w:ascii="Verdana" w:hAnsi="Verdana" w:cs="Arial"/>
        </w:rPr>
        <w:t xml:space="preserve">et </w:t>
      </w:r>
      <w:r w:rsidR="00E4688C" w:rsidRPr="00E4688C">
        <w:rPr>
          <w:rFonts w:ascii="Verdana" w:hAnsi="Verdana" w:cs="Arial"/>
        </w:rPr>
        <w:t>l’</w:t>
      </w:r>
      <w:r w:rsidR="00C15DDB" w:rsidRPr="00E4688C">
        <w:rPr>
          <w:rFonts w:ascii="Verdana" w:hAnsi="Verdana" w:cs="Arial"/>
        </w:rPr>
        <w:t xml:space="preserve">utilisation </w:t>
      </w:r>
      <w:r w:rsidRPr="00E4688C">
        <w:rPr>
          <w:rFonts w:ascii="Verdana" w:hAnsi="Verdana" w:cs="Arial"/>
        </w:rPr>
        <w:t xml:space="preserve">de </w:t>
      </w:r>
      <w:r w:rsidR="00C15DDB" w:rsidRPr="00E4688C">
        <w:rPr>
          <w:rFonts w:ascii="Verdana" w:hAnsi="Verdana" w:cs="Arial"/>
        </w:rPr>
        <w:t xml:space="preserve">ces </w:t>
      </w:r>
      <w:r w:rsidRPr="00E4688C">
        <w:rPr>
          <w:rFonts w:ascii="Verdana" w:hAnsi="Verdana" w:cs="Arial"/>
        </w:rPr>
        <w:t>nouveaux process</w:t>
      </w:r>
      <w:r w:rsidR="00C15DDB" w:rsidRPr="00E4688C">
        <w:rPr>
          <w:rFonts w:ascii="Verdana" w:hAnsi="Verdana" w:cs="Arial"/>
        </w:rPr>
        <w:t xml:space="preserve"> et outils</w:t>
      </w:r>
    </w:p>
    <w:p w:rsidR="00907D9B" w:rsidRPr="00E4688C" w:rsidRDefault="00907D9B" w:rsidP="00C15DDB">
      <w:pPr>
        <w:pStyle w:val="Notedebasdepage"/>
        <w:numPr>
          <w:ilvl w:val="0"/>
          <w:numId w:val="7"/>
        </w:numPr>
        <w:jc w:val="both"/>
        <w:rPr>
          <w:rFonts w:ascii="Verdana" w:hAnsi="Verdana" w:cs="Arial"/>
        </w:rPr>
      </w:pPr>
      <w:r w:rsidRPr="00E4688C">
        <w:rPr>
          <w:rFonts w:ascii="Verdana" w:hAnsi="Verdana" w:cs="Arial"/>
        </w:rPr>
        <w:t>la rationalisation de nos flux de reporting</w:t>
      </w:r>
    </w:p>
    <w:p w:rsidR="00EA3356" w:rsidRDefault="00EA3356" w:rsidP="00907D9B">
      <w:pPr>
        <w:jc w:val="both"/>
        <w:rPr>
          <w:rFonts w:ascii="Arial" w:hAnsi="Arial" w:cs="Arial"/>
          <w:u w:val="single"/>
        </w:rPr>
      </w:pPr>
    </w:p>
    <w:p w:rsidR="00EA3356" w:rsidRDefault="00EA3356" w:rsidP="00907D9B">
      <w:pPr>
        <w:jc w:val="both"/>
        <w:rPr>
          <w:rFonts w:ascii="Arial" w:hAnsi="Arial" w:cs="Arial"/>
          <w:u w:val="single"/>
        </w:rPr>
      </w:pPr>
    </w:p>
    <w:p w:rsidR="00907D9B" w:rsidRPr="007E7BB2" w:rsidRDefault="00907D9B" w:rsidP="00907D9B">
      <w:pPr>
        <w:jc w:val="both"/>
        <w:rPr>
          <w:rFonts w:ascii="Arial" w:hAnsi="Arial" w:cs="Arial"/>
          <w:u w:val="single"/>
        </w:rPr>
      </w:pPr>
      <w:r w:rsidRPr="007E7BB2">
        <w:rPr>
          <w:rFonts w:ascii="Arial" w:hAnsi="Arial" w:cs="Arial"/>
          <w:u w:val="single"/>
        </w:rPr>
        <w:t>Profil :</w:t>
      </w:r>
    </w:p>
    <w:p w:rsidR="00907D9B" w:rsidRPr="007E7BB2" w:rsidRDefault="00907D9B" w:rsidP="00907D9B">
      <w:pPr>
        <w:pStyle w:val="Notedebasdepage"/>
        <w:jc w:val="both"/>
        <w:rPr>
          <w:rFonts w:ascii="Verdana" w:hAnsi="Verdana" w:cs="Arial"/>
        </w:rPr>
      </w:pPr>
    </w:p>
    <w:p w:rsidR="00907D9B" w:rsidRPr="00E4688C" w:rsidRDefault="00907D9B" w:rsidP="00907D9B">
      <w:pPr>
        <w:pStyle w:val="Notedebasdepage"/>
        <w:jc w:val="both"/>
        <w:rPr>
          <w:rFonts w:ascii="Verdana" w:hAnsi="Verdana" w:cs="Arial"/>
        </w:rPr>
      </w:pPr>
      <w:r w:rsidRPr="007E7BB2">
        <w:rPr>
          <w:rFonts w:ascii="Verdana" w:hAnsi="Verdana" w:cs="Arial"/>
        </w:rPr>
        <w:t xml:space="preserve">De </w:t>
      </w:r>
      <w:r w:rsidRPr="00E4688C">
        <w:rPr>
          <w:rFonts w:ascii="Verdana" w:hAnsi="Verdana" w:cs="Arial"/>
        </w:rPr>
        <w:t>formation BAC + 5, Grande Ecole de Commerce ou formation universitaire équivalente, avec une spécialisation en contrôle de gestion, vous justifiez d’une première expérience professionnelle en contrôle de gestion ou cabinet d’audit, si possible à l’international. Vous avez idéalement participé à des projets de mise en place d’outils dans le domaine de la finance/reporting.</w:t>
      </w:r>
    </w:p>
    <w:p w:rsidR="00907D9B" w:rsidRPr="00E4688C" w:rsidRDefault="00907D9B" w:rsidP="00907D9B">
      <w:pPr>
        <w:pStyle w:val="Notedebasdepage"/>
        <w:jc w:val="both"/>
        <w:rPr>
          <w:rFonts w:ascii="Verdana" w:hAnsi="Verdana" w:cs="Arial"/>
        </w:rPr>
      </w:pPr>
      <w:r w:rsidRPr="00E4688C">
        <w:rPr>
          <w:rFonts w:ascii="Verdana" w:hAnsi="Verdana" w:cs="Arial"/>
        </w:rPr>
        <w:t>Vos compétences professionnelles (analyse et rigueur) s’appuient sur une maîtrise avancée d’Excel et idéalement de solides connaissances des outils de gestion (comme Essbase, Hyperion, Microstrategy, ERP…). Elles s’accompagnent d’un excellent relationnel, de grandes qualités de coordination, et d'un réel esprit d'initiative.</w:t>
      </w:r>
    </w:p>
    <w:p w:rsidR="00907D9B" w:rsidRPr="00E4688C" w:rsidRDefault="00907D9B" w:rsidP="00907D9B">
      <w:pPr>
        <w:pStyle w:val="Notedebasdepage"/>
        <w:jc w:val="both"/>
        <w:rPr>
          <w:rFonts w:ascii="Verdana" w:hAnsi="Verdana" w:cs="Arial"/>
        </w:rPr>
      </w:pPr>
    </w:p>
    <w:p w:rsidR="00907D9B" w:rsidRPr="00E4688C" w:rsidRDefault="00907D9B" w:rsidP="00907D9B">
      <w:pPr>
        <w:pStyle w:val="Notedebasdepage"/>
        <w:jc w:val="both"/>
        <w:rPr>
          <w:rFonts w:ascii="Verdana" w:hAnsi="Verdana" w:cs="Arial"/>
        </w:rPr>
      </w:pPr>
      <w:r w:rsidRPr="00E4688C">
        <w:rPr>
          <w:rFonts w:ascii="Verdana" w:hAnsi="Verdana" w:cs="Arial"/>
        </w:rPr>
        <w:t>La pratique courante de l’anglais est indispensable.</w:t>
      </w:r>
    </w:p>
    <w:p w:rsidR="00907D9B" w:rsidRPr="00E4688C" w:rsidRDefault="00907D9B" w:rsidP="00907D9B">
      <w:pPr>
        <w:jc w:val="both"/>
        <w:rPr>
          <w:rFonts w:ascii="Arial" w:hAnsi="Arial" w:cs="Arial"/>
          <w:u w:val="single"/>
        </w:rPr>
      </w:pPr>
    </w:p>
    <w:p w:rsidR="00907D9B" w:rsidRPr="00E4688C" w:rsidRDefault="00907D9B" w:rsidP="00907D9B">
      <w:pPr>
        <w:jc w:val="both"/>
        <w:rPr>
          <w:rFonts w:ascii="Arial" w:hAnsi="Arial" w:cs="Arial"/>
          <w:u w:val="single"/>
        </w:rPr>
      </w:pPr>
      <w:r w:rsidRPr="00E4688C">
        <w:rPr>
          <w:rFonts w:ascii="Arial" w:hAnsi="Arial" w:cs="Arial"/>
          <w:u w:val="single"/>
        </w:rPr>
        <w:t>Conditions :</w:t>
      </w:r>
    </w:p>
    <w:p w:rsidR="00907D9B" w:rsidRPr="00E4688C" w:rsidRDefault="00907D9B" w:rsidP="00907D9B">
      <w:pPr>
        <w:pStyle w:val="Notedebasdepage"/>
        <w:jc w:val="both"/>
        <w:rPr>
          <w:rFonts w:ascii="Verdana" w:hAnsi="Verdana" w:cs="Arial"/>
        </w:rPr>
      </w:pPr>
    </w:p>
    <w:p w:rsidR="00907D9B" w:rsidRPr="00E4688C" w:rsidRDefault="00907D9B" w:rsidP="00907D9B">
      <w:pPr>
        <w:pStyle w:val="Notedebasdepage"/>
        <w:jc w:val="both"/>
        <w:rPr>
          <w:rFonts w:ascii="Verdana" w:hAnsi="Verdana" w:cs="Arial"/>
        </w:rPr>
      </w:pPr>
      <w:r w:rsidRPr="00E4688C">
        <w:rPr>
          <w:rFonts w:ascii="Verdana" w:hAnsi="Verdana" w:cs="Arial"/>
        </w:rPr>
        <w:t>Poste à pourvoir dès que possible.</w:t>
      </w:r>
    </w:p>
    <w:p w:rsidR="00907D9B" w:rsidRDefault="00907D9B" w:rsidP="00907D9B">
      <w:pPr>
        <w:pStyle w:val="Notedebasdepage"/>
        <w:jc w:val="both"/>
        <w:rPr>
          <w:rFonts w:ascii="Verdana" w:hAnsi="Verdana" w:cs="Arial"/>
        </w:rPr>
      </w:pPr>
      <w:r w:rsidRPr="00E4688C">
        <w:rPr>
          <w:rFonts w:ascii="Verdana" w:hAnsi="Verdana" w:cs="Arial"/>
        </w:rPr>
        <w:t>Poste basé à Montreuil Sous Bois (Métro Porte de Montreuil - ligne 9, ou St Mandé - ligne 1)</w:t>
      </w:r>
      <w:r w:rsidR="00C859CC" w:rsidRPr="00E4688C">
        <w:rPr>
          <w:rFonts w:ascii="Verdana" w:hAnsi="Verdana" w:cs="Arial"/>
        </w:rPr>
        <w:t>.</w:t>
      </w:r>
    </w:p>
    <w:p w:rsidR="003B7FCC" w:rsidRDefault="00C4256C"/>
    <w:sectPr w:rsidR="003B7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50762"/>
    <w:multiLevelType w:val="hybridMultilevel"/>
    <w:tmpl w:val="B9C68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D32897"/>
    <w:multiLevelType w:val="hybridMultilevel"/>
    <w:tmpl w:val="AA727DA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43F26EB2"/>
    <w:multiLevelType w:val="hybridMultilevel"/>
    <w:tmpl w:val="E0F808FA"/>
    <w:lvl w:ilvl="0" w:tplc="040C0001">
      <w:start w:val="1"/>
      <w:numFmt w:val="bullet"/>
      <w:lvlText w:val=""/>
      <w:lvlJc w:val="left"/>
      <w:pPr>
        <w:ind w:left="1113" w:hanging="405"/>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4F0257AA"/>
    <w:multiLevelType w:val="hybridMultilevel"/>
    <w:tmpl w:val="DEB2CEF8"/>
    <w:lvl w:ilvl="0" w:tplc="040C0003">
      <w:start w:val="1"/>
      <w:numFmt w:val="bullet"/>
      <w:lvlText w:val="o"/>
      <w:lvlJc w:val="left"/>
      <w:pPr>
        <w:ind w:left="1113" w:hanging="405"/>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540B6C12"/>
    <w:multiLevelType w:val="hybridMultilevel"/>
    <w:tmpl w:val="887EB0B6"/>
    <w:lvl w:ilvl="0" w:tplc="040C0001">
      <w:start w:val="1"/>
      <w:numFmt w:val="bullet"/>
      <w:lvlText w:val=""/>
      <w:lvlJc w:val="left"/>
      <w:pPr>
        <w:ind w:left="1113" w:hanging="405"/>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54E8120A"/>
    <w:multiLevelType w:val="hybridMultilevel"/>
    <w:tmpl w:val="8234999A"/>
    <w:lvl w:ilvl="0" w:tplc="040C0003">
      <w:start w:val="1"/>
      <w:numFmt w:val="bullet"/>
      <w:lvlText w:val="o"/>
      <w:lvlJc w:val="left"/>
      <w:pPr>
        <w:ind w:left="1113" w:hanging="405"/>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674B6D5A"/>
    <w:multiLevelType w:val="hybridMultilevel"/>
    <w:tmpl w:val="BD227C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7F02EE2"/>
    <w:multiLevelType w:val="hybridMultilevel"/>
    <w:tmpl w:val="A290F342"/>
    <w:lvl w:ilvl="0" w:tplc="040C0001">
      <w:start w:val="1"/>
      <w:numFmt w:val="bullet"/>
      <w:lvlText w:val=""/>
      <w:lvlJc w:val="left"/>
      <w:pPr>
        <w:ind w:left="1113" w:hanging="405"/>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755A54C7"/>
    <w:multiLevelType w:val="hybridMultilevel"/>
    <w:tmpl w:val="2E106A94"/>
    <w:lvl w:ilvl="0" w:tplc="040C0003">
      <w:start w:val="1"/>
      <w:numFmt w:val="bullet"/>
      <w:lvlText w:val="o"/>
      <w:lvlJc w:val="left"/>
      <w:pPr>
        <w:ind w:left="1833" w:hanging="360"/>
      </w:pPr>
      <w:rPr>
        <w:rFonts w:ascii="Courier New" w:hAnsi="Courier New" w:cs="Courier New" w:hint="default"/>
      </w:rPr>
    </w:lvl>
    <w:lvl w:ilvl="1" w:tplc="040C0003" w:tentative="1">
      <w:start w:val="1"/>
      <w:numFmt w:val="bullet"/>
      <w:lvlText w:val="o"/>
      <w:lvlJc w:val="left"/>
      <w:pPr>
        <w:ind w:left="2553" w:hanging="360"/>
      </w:pPr>
      <w:rPr>
        <w:rFonts w:ascii="Courier New" w:hAnsi="Courier New" w:cs="Courier New" w:hint="default"/>
      </w:rPr>
    </w:lvl>
    <w:lvl w:ilvl="2" w:tplc="040C0005" w:tentative="1">
      <w:start w:val="1"/>
      <w:numFmt w:val="bullet"/>
      <w:lvlText w:val=""/>
      <w:lvlJc w:val="left"/>
      <w:pPr>
        <w:ind w:left="3273" w:hanging="360"/>
      </w:pPr>
      <w:rPr>
        <w:rFonts w:ascii="Wingdings" w:hAnsi="Wingdings" w:hint="default"/>
      </w:rPr>
    </w:lvl>
    <w:lvl w:ilvl="3" w:tplc="040C0001" w:tentative="1">
      <w:start w:val="1"/>
      <w:numFmt w:val="bullet"/>
      <w:lvlText w:val=""/>
      <w:lvlJc w:val="left"/>
      <w:pPr>
        <w:ind w:left="3993" w:hanging="360"/>
      </w:pPr>
      <w:rPr>
        <w:rFonts w:ascii="Symbol" w:hAnsi="Symbol" w:hint="default"/>
      </w:rPr>
    </w:lvl>
    <w:lvl w:ilvl="4" w:tplc="040C0003" w:tentative="1">
      <w:start w:val="1"/>
      <w:numFmt w:val="bullet"/>
      <w:lvlText w:val="o"/>
      <w:lvlJc w:val="left"/>
      <w:pPr>
        <w:ind w:left="4713" w:hanging="360"/>
      </w:pPr>
      <w:rPr>
        <w:rFonts w:ascii="Courier New" w:hAnsi="Courier New" w:cs="Courier New" w:hint="default"/>
      </w:rPr>
    </w:lvl>
    <w:lvl w:ilvl="5" w:tplc="040C0005" w:tentative="1">
      <w:start w:val="1"/>
      <w:numFmt w:val="bullet"/>
      <w:lvlText w:val=""/>
      <w:lvlJc w:val="left"/>
      <w:pPr>
        <w:ind w:left="5433" w:hanging="360"/>
      </w:pPr>
      <w:rPr>
        <w:rFonts w:ascii="Wingdings" w:hAnsi="Wingdings" w:hint="default"/>
      </w:rPr>
    </w:lvl>
    <w:lvl w:ilvl="6" w:tplc="040C0001" w:tentative="1">
      <w:start w:val="1"/>
      <w:numFmt w:val="bullet"/>
      <w:lvlText w:val=""/>
      <w:lvlJc w:val="left"/>
      <w:pPr>
        <w:ind w:left="6153" w:hanging="360"/>
      </w:pPr>
      <w:rPr>
        <w:rFonts w:ascii="Symbol" w:hAnsi="Symbol" w:hint="default"/>
      </w:rPr>
    </w:lvl>
    <w:lvl w:ilvl="7" w:tplc="040C0003" w:tentative="1">
      <w:start w:val="1"/>
      <w:numFmt w:val="bullet"/>
      <w:lvlText w:val="o"/>
      <w:lvlJc w:val="left"/>
      <w:pPr>
        <w:ind w:left="6873" w:hanging="360"/>
      </w:pPr>
      <w:rPr>
        <w:rFonts w:ascii="Courier New" w:hAnsi="Courier New" w:cs="Courier New" w:hint="default"/>
      </w:rPr>
    </w:lvl>
    <w:lvl w:ilvl="8" w:tplc="040C0005" w:tentative="1">
      <w:start w:val="1"/>
      <w:numFmt w:val="bullet"/>
      <w:lvlText w:val=""/>
      <w:lvlJc w:val="left"/>
      <w:pPr>
        <w:ind w:left="7593"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D9B"/>
    <w:rsid w:val="001630CD"/>
    <w:rsid w:val="001A6AAC"/>
    <w:rsid w:val="002870BA"/>
    <w:rsid w:val="00550D0D"/>
    <w:rsid w:val="00666606"/>
    <w:rsid w:val="006916A9"/>
    <w:rsid w:val="00747FDC"/>
    <w:rsid w:val="00774973"/>
    <w:rsid w:val="00785261"/>
    <w:rsid w:val="00907D9B"/>
    <w:rsid w:val="00C1333B"/>
    <w:rsid w:val="00C15DDB"/>
    <w:rsid w:val="00C4256C"/>
    <w:rsid w:val="00C859CC"/>
    <w:rsid w:val="00DB3C8A"/>
    <w:rsid w:val="00E4688C"/>
    <w:rsid w:val="00E73A5D"/>
    <w:rsid w:val="00EA3356"/>
    <w:rsid w:val="00F76F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CE436-6388-4A88-9004-23DFB48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D9B"/>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07D9B"/>
    <w:pPr>
      <w:keepNext/>
      <w:ind w:left="-567" w:right="-567"/>
      <w:jc w:val="both"/>
      <w:outlineLvl w:val="1"/>
    </w:pPr>
    <w:rPr>
      <w:rFonts w:ascii="Times New" w:hAnsi="Times New"/>
      <w:sz w:val="28"/>
    </w:rPr>
  </w:style>
  <w:style w:type="paragraph" w:styleId="Titre5">
    <w:name w:val="heading 5"/>
    <w:basedOn w:val="Normal"/>
    <w:next w:val="Normal"/>
    <w:link w:val="Titre5Car"/>
    <w:qFormat/>
    <w:rsid w:val="00907D9B"/>
    <w:pPr>
      <w:keepNext/>
      <w:outlineLvl w:val="4"/>
    </w:pPr>
    <w:rPr>
      <w:rFonts w:ascii="Tahoma" w:hAnsi="Tahoma"/>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07D9B"/>
    <w:rPr>
      <w:rFonts w:ascii="Times New" w:eastAsia="Times New Roman" w:hAnsi="Times New" w:cs="Times New Roman"/>
      <w:sz w:val="28"/>
      <w:szCs w:val="20"/>
      <w:lang w:eastAsia="fr-FR"/>
    </w:rPr>
  </w:style>
  <w:style w:type="character" w:customStyle="1" w:styleId="Titre5Car">
    <w:name w:val="Titre 5 Car"/>
    <w:basedOn w:val="Policepardfaut"/>
    <w:link w:val="Titre5"/>
    <w:rsid w:val="00907D9B"/>
    <w:rPr>
      <w:rFonts w:ascii="Tahoma" w:eastAsia="Times New Roman" w:hAnsi="Tahoma" w:cs="Times New Roman"/>
      <w:sz w:val="24"/>
      <w:szCs w:val="20"/>
      <w:u w:val="single"/>
      <w:lang w:eastAsia="fr-FR"/>
    </w:rPr>
  </w:style>
  <w:style w:type="paragraph" w:styleId="Notedebasdepage">
    <w:name w:val="footnote text"/>
    <w:basedOn w:val="Normal"/>
    <w:link w:val="NotedebasdepageCar"/>
    <w:semiHidden/>
    <w:rsid w:val="00907D9B"/>
  </w:style>
  <w:style w:type="character" w:customStyle="1" w:styleId="NotedebasdepageCar">
    <w:name w:val="Note de bas de page Car"/>
    <w:basedOn w:val="Policepardfaut"/>
    <w:link w:val="Notedebasdepage"/>
    <w:semiHidden/>
    <w:rsid w:val="00907D9B"/>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2655</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Ubisoft Entertainment</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Fevre</dc:creator>
  <cp:keywords/>
  <dc:description/>
  <cp:lastModifiedBy>Milena Nicolaï</cp:lastModifiedBy>
  <cp:revision>2</cp:revision>
  <dcterms:created xsi:type="dcterms:W3CDTF">2018-03-05T14:49:00Z</dcterms:created>
  <dcterms:modified xsi:type="dcterms:W3CDTF">2018-03-05T14:49:00Z</dcterms:modified>
</cp:coreProperties>
</file>